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3F100" w14:textId="77777777" w:rsidR="009B0EE1" w:rsidRDefault="009B0EE1" w:rsidP="009B0EE1">
      <w:pPr>
        <w:jc w:val="center"/>
        <w:rPr>
          <w:b/>
          <w:bCs/>
        </w:rPr>
      </w:pPr>
      <w:r w:rsidRPr="6E7C4600">
        <w:rPr>
          <w:b/>
          <w:bCs/>
        </w:rPr>
        <w:t>Appendix A</w:t>
      </w:r>
    </w:p>
    <w:p w14:paraId="742172C0" w14:textId="77777777" w:rsidR="009B0EE1" w:rsidRDefault="009B0EE1" w:rsidP="009B0EE1">
      <w:pPr>
        <w:jc w:val="center"/>
        <w:rPr>
          <w:b/>
          <w:bCs/>
        </w:rPr>
      </w:pPr>
    </w:p>
    <w:p w14:paraId="423C235D" w14:textId="77777777" w:rsidR="009B0EE1" w:rsidRPr="008E512D" w:rsidRDefault="009B0EE1" w:rsidP="009B0EE1">
      <w:pPr>
        <w:jc w:val="center"/>
        <w:rPr>
          <w:b/>
          <w:bCs/>
        </w:rPr>
      </w:pPr>
      <w:r w:rsidRPr="008E512D">
        <w:rPr>
          <w:b/>
          <w:bCs/>
        </w:rPr>
        <w:t>Literacy Methods Class Questions</w:t>
      </w:r>
    </w:p>
    <w:p w14:paraId="18258B1E" w14:textId="77777777" w:rsidR="009B0EE1" w:rsidRDefault="009B0EE1" w:rsidP="009B0EE1">
      <w:pPr>
        <w:jc w:val="center"/>
      </w:pPr>
    </w:p>
    <w:p w14:paraId="7356B9B0" w14:textId="77777777" w:rsidR="009B0EE1" w:rsidRDefault="009B0EE1" w:rsidP="009B0EE1">
      <w:r>
        <w:t xml:space="preserve">Questions are designed to facilitate reflection about making  disciplinary literacy connections in the elementary classrooms. </w:t>
      </w:r>
    </w:p>
    <w:p w14:paraId="611E9331" w14:textId="77777777" w:rsidR="009B0EE1" w:rsidRDefault="009B0EE1" w:rsidP="009B0EE1"/>
    <w:p w14:paraId="6D019B2F" w14:textId="77777777" w:rsidR="009B0EE1" w:rsidRDefault="009B0EE1" w:rsidP="009B0EE1">
      <w:pPr>
        <w:pStyle w:val="ListParagraph"/>
        <w:numPr>
          <w:ilvl w:val="0"/>
          <w:numId w:val="1"/>
        </w:numPr>
      </w:pPr>
      <w:r w:rsidRPr="633855E1">
        <w:t>What are important concepts that could be explored in light of the Reading Literature Standards?  How might the content of the text invite supplemental non-fiction reading that could be related to the Reading Information standards?</w:t>
      </w:r>
    </w:p>
    <w:p w14:paraId="71AB58DA" w14:textId="77777777" w:rsidR="009B0EE1" w:rsidRDefault="009B0EE1" w:rsidP="009B0EE1">
      <w:pPr>
        <w:pStyle w:val="ListParagraph"/>
        <w:numPr>
          <w:ilvl w:val="0"/>
          <w:numId w:val="1"/>
        </w:numPr>
        <w:spacing w:line="259" w:lineRule="auto"/>
      </w:pPr>
      <w:r w:rsidRPr="633855E1">
        <w:t>What connections are you making to science content and how humans can actively engage science in their daily lives?</w:t>
      </w:r>
    </w:p>
    <w:p w14:paraId="557C89EC" w14:textId="77777777" w:rsidR="009B0EE1" w:rsidRDefault="009B0EE1" w:rsidP="009B0EE1">
      <w:pPr>
        <w:pStyle w:val="ListParagraph"/>
        <w:numPr>
          <w:ilvl w:val="0"/>
          <w:numId w:val="1"/>
        </w:numPr>
      </w:pPr>
      <w:r w:rsidRPr="633855E1">
        <w:t>What do you notice in terms of representation?  What identities and perspectives are affirmed through the text?  How might the book serve as mirror, windo</w:t>
      </w:r>
      <w:bookmarkStart w:id="0" w:name="_GoBack"/>
      <w:bookmarkEnd w:id="0"/>
      <w:r w:rsidRPr="633855E1">
        <w:t>w, or door?</w:t>
      </w:r>
    </w:p>
    <w:p w14:paraId="25C3FDC6" w14:textId="77777777" w:rsidR="009B0EE1" w:rsidRDefault="009B0EE1" w:rsidP="009B0EE1">
      <w:pPr>
        <w:pStyle w:val="ListParagraph"/>
        <w:numPr>
          <w:ilvl w:val="0"/>
          <w:numId w:val="1"/>
        </w:numPr>
      </w:pPr>
      <w:r w:rsidRPr="633855E1">
        <w:t>What are entry points for writing with this text?  How might the text serve as a model?</w:t>
      </w:r>
    </w:p>
    <w:p w14:paraId="6AEB6301" w14:textId="77777777" w:rsidR="009B0EE1" w:rsidRDefault="009B0EE1" w:rsidP="009B0EE1"/>
    <w:p w14:paraId="6342018A" w14:textId="77777777" w:rsidR="009B0EE1" w:rsidRDefault="009B0EE1" w:rsidP="009B0EE1">
      <w:r>
        <w:t xml:space="preserve">Science Methods Class Questions 5-10 are designed to help students articulate their progress and challenges throughout the various stages of instructional design. These questions will be asked as students develop a project in which they are asked to use popular fiction to foster students’ disciplinary literacy skills and knowledge. </w:t>
      </w:r>
    </w:p>
    <w:p w14:paraId="764205CA" w14:textId="77777777" w:rsidR="009B0EE1" w:rsidRDefault="009B0EE1" w:rsidP="009B0EE1">
      <w:pPr>
        <w:pStyle w:val="ColorfulList-Accent11"/>
      </w:pPr>
    </w:p>
    <w:p w14:paraId="5DE4FD7C" w14:textId="77777777" w:rsidR="009B0EE1" w:rsidRDefault="009B0EE1" w:rsidP="009B0EE1">
      <w:pPr>
        <w:pStyle w:val="ListParagraph"/>
        <w:numPr>
          <w:ilvl w:val="0"/>
          <w:numId w:val="1"/>
        </w:numPr>
      </w:pPr>
      <w:r>
        <w:t xml:space="preserve"> What disciplinary concepts/core content from the novel will you use for your inquiry project and why? How are these concepts/core content relevant and/or compelling to students? </w:t>
      </w:r>
    </w:p>
    <w:p w14:paraId="34DD557D" w14:textId="77777777" w:rsidR="009B0EE1" w:rsidRDefault="009B0EE1" w:rsidP="009B0EE1">
      <w:pPr>
        <w:pStyle w:val="ListParagraph"/>
        <w:numPr>
          <w:ilvl w:val="0"/>
          <w:numId w:val="1"/>
        </w:numPr>
      </w:pPr>
      <w:r>
        <w:t xml:space="preserve">What disciplinary standards and literacy standards will you use and why? How will the “big question” of this project enable students to meet these standards? </w:t>
      </w:r>
    </w:p>
    <w:p w14:paraId="2A257547" w14:textId="77777777" w:rsidR="009B0EE1" w:rsidRDefault="009B0EE1" w:rsidP="009B0EE1">
      <w:pPr>
        <w:pStyle w:val="ListParagraph"/>
        <w:numPr>
          <w:ilvl w:val="0"/>
          <w:numId w:val="1"/>
        </w:numPr>
      </w:pPr>
      <w:r>
        <w:t xml:space="preserve">What non-fiction texts will you use to support and enrich student learning and why? What literacy challenges do these texts pose for elementary students? How will you help students navigate these? </w:t>
      </w:r>
    </w:p>
    <w:p w14:paraId="7A10E89A" w14:textId="77777777" w:rsidR="009B0EE1" w:rsidRDefault="009B0EE1" w:rsidP="009B0EE1">
      <w:pPr>
        <w:pStyle w:val="ListParagraph"/>
        <w:numPr>
          <w:ilvl w:val="0"/>
          <w:numId w:val="1"/>
        </w:numPr>
      </w:pPr>
      <w:r>
        <w:t xml:space="preserve">What reading, writing, and academic language goals will you set and why? How do these goals align with demands of disciplinary literacy as defined by the science subject area?  </w:t>
      </w:r>
    </w:p>
    <w:p w14:paraId="75B8448B" w14:textId="77777777" w:rsidR="009B0EE1" w:rsidRDefault="009B0EE1" w:rsidP="009B0EE1">
      <w:pPr>
        <w:pStyle w:val="ListParagraph"/>
        <w:numPr>
          <w:ilvl w:val="0"/>
          <w:numId w:val="1"/>
        </w:numPr>
      </w:pPr>
      <w:r>
        <w:t>What final assessment project or performance will you design? How does this assessment incorporate student choice and background knowledge as well as address mastery of content standards and relevant literacy standards?</w:t>
      </w:r>
    </w:p>
    <w:p w14:paraId="392A7837" w14:textId="77777777" w:rsidR="009B0EE1" w:rsidRDefault="009B0EE1" w:rsidP="009B0EE1">
      <w:pPr>
        <w:pStyle w:val="ListParagraph"/>
        <w:numPr>
          <w:ilvl w:val="0"/>
          <w:numId w:val="1"/>
        </w:numPr>
      </w:pPr>
      <w:r>
        <w:t xml:space="preserve">What instructional strategies will you use to teach literacy throughout the inquiry project design?  How will these strategies meet the needs of students reading, writing, academic language, and speaking and listening learning? </w:t>
      </w:r>
    </w:p>
    <w:p w14:paraId="2D52A93A" w14:textId="344FB68C" w:rsidR="00725763" w:rsidRDefault="00725763">
      <w:r>
        <w:br w:type="page"/>
      </w:r>
    </w:p>
    <w:p w14:paraId="30B57C05" w14:textId="77777777" w:rsidR="00725763" w:rsidRDefault="00725763" w:rsidP="00725763">
      <w:pPr>
        <w:spacing w:line="259" w:lineRule="auto"/>
        <w:jc w:val="center"/>
        <w:rPr>
          <w:b/>
          <w:bCs/>
        </w:rPr>
      </w:pPr>
      <w:r w:rsidRPr="6E7C4600">
        <w:rPr>
          <w:b/>
          <w:bCs/>
        </w:rPr>
        <w:lastRenderedPageBreak/>
        <w:t>Appendix B</w:t>
      </w:r>
    </w:p>
    <w:p w14:paraId="3D63A7C1" w14:textId="77777777" w:rsidR="00725763" w:rsidRDefault="00725763" w:rsidP="00725763">
      <w:pPr>
        <w:rPr>
          <w:rFonts w:ascii="Calibri" w:eastAsia="Calibri" w:hAnsi="Calibri" w:cs="Calibri"/>
          <w:color w:val="000000" w:themeColor="text1"/>
        </w:rPr>
      </w:pPr>
    </w:p>
    <w:p w14:paraId="33276C15" w14:textId="77777777" w:rsidR="00725763" w:rsidRPr="008E512D" w:rsidRDefault="00725763" w:rsidP="00725763">
      <w:pPr>
        <w:jc w:val="center"/>
        <w:rPr>
          <w:rFonts w:eastAsia="Calibri"/>
          <w:b/>
          <w:bCs/>
          <w:color w:val="000000" w:themeColor="text1"/>
          <w:sz w:val="22"/>
          <w:szCs w:val="22"/>
        </w:rPr>
      </w:pPr>
      <w:r w:rsidRPr="715652C4">
        <w:rPr>
          <w:rFonts w:ascii="Calibri" w:eastAsia="Calibri" w:hAnsi="Calibri" w:cs="Calibri"/>
        </w:rPr>
        <w:t xml:space="preserve"> </w:t>
      </w:r>
      <w:r w:rsidRPr="008E512D">
        <w:rPr>
          <w:rFonts w:eastAsia="Calibri"/>
          <w:b/>
          <w:bCs/>
        </w:rPr>
        <w:t xml:space="preserve">5E </w:t>
      </w:r>
      <w:r w:rsidRPr="00725763">
        <w:rPr>
          <w:rFonts w:eastAsia="Calibri"/>
          <w:b/>
          <w:bCs/>
          <w:i/>
          <w:color w:val="000000" w:themeColor="text1"/>
          <w:sz w:val="22"/>
          <w:szCs w:val="22"/>
        </w:rPr>
        <w:t>NGSS</w:t>
      </w:r>
      <w:r w:rsidRPr="008E512D">
        <w:rPr>
          <w:rFonts w:eastAsia="Calibri"/>
          <w:b/>
          <w:bCs/>
          <w:color w:val="000000" w:themeColor="text1"/>
          <w:sz w:val="22"/>
          <w:szCs w:val="22"/>
        </w:rPr>
        <w:t xml:space="preserve"> Unit Planning Template </w:t>
      </w:r>
    </w:p>
    <w:p w14:paraId="0A6A3AB9" w14:textId="77777777" w:rsidR="00725763" w:rsidRDefault="00725763" w:rsidP="00725763">
      <w:pPr>
        <w:jc w:val="center"/>
      </w:pPr>
    </w:p>
    <w:tbl>
      <w:tblPr>
        <w:tblW w:w="0" w:type="auto"/>
        <w:tblLayout w:type="fixed"/>
        <w:tblLook w:val="06A0" w:firstRow="1" w:lastRow="0" w:firstColumn="1" w:lastColumn="0" w:noHBand="1" w:noVBand="1"/>
      </w:tblPr>
      <w:tblGrid>
        <w:gridCol w:w="2888"/>
        <w:gridCol w:w="2876"/>
        <w:gridCol w:w="2876"/>
      </w:tblGrid>
      <w:tr w:rsidR="00725763" w14:paraId="07B3B9FB" w14:textId="77777777" w:rsidTr="00A97728">
        <w:trPr>
          <w:trHeight w:val="345"/>
        </w:trPr>
        <w:tc>
          <w:tcPr>
            <w:tcW w:w="28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5B7D90" w14:textId="77777777" w:rsidR="00725763" w:rsidRDefault="00725763" w:rsidP="00A97728">
            <w:r w:rsidRPr="715652C4">
              <w:rPr>
                <w:rFonts w:ascii="Calibri" w:eastAsia="Calibri" w:hAnsi="Calibri" w:cs="Calibri"/>
                <w:b/>
                <w:bCs/>
                <w:color w:val="000000" w:themeColor="text1"/>
                <w:sz w:val="18"/>
                <w:szCs w:val="18"/>
              </w:rPr>
              <w:t>Grade/ Grade Band</w:t>
            </w:r>
            <w:r w:rsidRPr="715652C4">
              <w:rPr>
                <w:rFonts w:ascii="Calibri" w:eastAsia="Calibri" w:hAnsi="Calibri" w:cs="Calibri"/>
                <w:color w:val="000000" w:themeColor="text1"/>
                <w:sz w:val="18"/>
                <w:szCs w:val="18"/>
              </w:rPr>
              <w:t>:</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ECB32F" w14:textId="77777777" w:rsidR="00725763" w:rsidRDefault="00725763" w:rsidP="00A97728">
            <w:r w:rsidRPr="715652C4">
              <w:rPr>
                <w:rFonts w:ascii="Calibri" w:eastAsia="Calibri" w:hAnsi="Calibri" w:cs="Calibri"/>
                <w:b/>
                <w:bCs/>
                <w:color w:val="000000" w:themeColor="text1"/>
                <w:sz w:val="18"/>
                <w:szCs w:val="18"/>
              </w:rPr>
              <w:t>Topic:</w:t>
            </w:r>
            <w:r w:rsidRPr="715652C4">
              <w:rPr>
                <w:rFonts w:ascii="Calibri" w:eastAsia="Calibri" w:hAnsi="Calibri" w:cs="Calibri"/>
                <w:color w:val="000000" w:themeColor="text1"/>
                <w:sz w:val="18"/>
                <w:szCs w:val="18"/>
              </w:rPr>
              <w:t xml:space="preserve"> </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A302EB" w14:textId="77777777" w:rsidR="00725763" w:rsidRDefault="00725763" w:rsidP="00A97728">
            <w:r w:rsidRPr="715652C4">
              <w:rPr>
                <w:rFonts w:ascii="Calibri" w:eastAsia="Calibri" w:hAnsi="Calibri" w:cs="Calibri"/>
                <w:b/>
                <w:bCs/>
                <w:color w:val="000000" w:themeColor="text1"/>
                <w:sz w:val="18"/>
                <w:szCs w:val="18"/>
              </w:rPr>
              <w:t>Unit Number of Days:</w:t>
            </w:r>
          </w:p>
        </w:tc>
      </w:tr>
      <w:tr w:rsidR="00725763" w14:paraId="5E1E70EA" w14:textId="77777777" w:rsidTr="00A97728">
        <w:trPr>
          <w:trHeight w:val="225"/>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28609" w14:textId="77777777" w:rsidR="00725763" w:rsidRDefault="00725763" w:rsidP="00A97728">
            <w:r w:rsidRPr="715652C4">
              <w:rPr>
                <w:rFonts w:ascii="Calibri" w:eastAsia="Calibri" w:hAnsi="Calibri" w:cs="Calibri"/>
                <w:b/>
                <w:bCs/>
                <w:color w:val="000000" w:themeColor="text1"/>
                <w:sz w:val="18"/>
                <w:szCs w:val="18"/>
              </w:rPr>
              <w:t>Brief Unit Description</w:t>
            </w:r>
            <w:r w:rsidRPr="715652C4">
              <w:rPr>
                <w:rFonts w:ascii="Calibri" w:eastAsia="Calibri" w:hAnsi="Calibri" w:cs="Calibri"/>
                <w:color w:val="000000" w:themeColor="text1"/>
                <w:sz w:val="18"/>
                <w:szCs w:val="18"/>
              </w:rPr>
              <w:t xml:space="preserve">:  </w:t>
            </w:r>
          </w:p>
          <w:p w14:paraId="370CD56C" w14:textId="77777777" w:rsidR="00725763" w:rsidRDefault="00725763" w:rsidP="00A97728">
            <w:r w:rsidRPr="715652C4">
              <w:rPr>
                <w:rFonts w:ascii="Calibri" w:eastAsia="Calibri" w:hAnsi="Calibri" w:cs="Calibri"/>
                <w:color w:val="000000" w:themeColor="text1"/>
                <w:sz w:val="18"/>
                <w:szCs w:val="18"/>
              </w:rPr>
              <w:t xml:space="preserve"> </w:t>
            </w:r>
          </w:p>
          <w:p w14:paraId="02645506" w14:textId="77777777" w:rsidR="00725763" w:rsidRDefault="00725763" w:rsidP="00A97728">
            <w:r w:rsidRPr="715652C4">
              <w:rPr>
                <w:rFonts w:ascii="Calibri" w:eastAsia="Calibri" w:hAnsi="Calibri" w:cs="Calibri"/>
                <w:color w:val="000000" w:themeColor="text1"/>
                <w:sz w:val="18"/>
                <w:szCs w:val="18"/>
              </w:rPr>
              <w:t xml:space="preserve"> </w:t>
            </w:r>
          </w:p>
        </w:tc>
      </w:tr>
      <w:tr w:rsidR="00725763" w14:paraId="0453A852" w14:textId="77777777" w:rsidTr="00A97728">
        <w:trPr>
          <w:trHeight w:val="465"/>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EA184" w14:textId="77777777" w:rsidR="00725763" w:rsidRDefault="00725763" w:rsidP="00A97728">
            <w:r w:rsidRPr="715652C4">
              <w:rPr>
                <w:rFonts w:ascii="Calibri" w:eastAsia="Calibri" w:hAnsi="Calibri" w:cs="Calibri"/>
                <w:b/>
                <w:bCs/>
                <w:color w:val="000000" w:themeColor="text1"/>
                <w:sz w:val="18"/>
                <w:szCs w:val="18"/>
              </w:rPr>
              <w:t xml:space="preserve">Performance Expectation(s): </w:t>
            </w:r>
          </w:p>
          <w:p w14:paraId="07E73400" w14:textId="77777777" w:rsidR="00725763" w:rsidRDefault="00725763" w:rsidP="00A97728">
            <w:r w:rsidRPr="715652C4">
              <w:rPr>
                <w:rFonts w:ascii="Calibri" w:eastAsia="Calibri" w:hAnsi="Calibri" w:cs="Calibri"/>
                <w:b/>
                <w:bCs/>
                <w:color w:val="000000" w:themeColor="text1"/>
                <w:sz w:val="18"/>
                <w:szCs w:val="18"/>
              </w:rPr>
              <w:t xml:space="preserve"> </w:t>
            </w:r>
          </w:p>
          <w:p w14:paraId="4BC29ED1" w14:textId="77777777" w:rsidR="00725763" w:rsidRDefault="00725763" w:rsidP="00A97728">
            <w:r w:rsidRPr="715652C4">
              <w:rPr>
                <w:rFonts w:ascii="Calibri" w:eastAsia="Calibri" w:hAnsi="Calibri" w:cs="Calibri"/>
                <w:color w:val="000000" w:themeColor="text1"/>
                <w:sz w:val="18"/>
                <w:szCs w:val="18"/>
              </w:rPr>
              <w:t xml:space="preserve"> </w:t>
            </w:r>
          </w:p>
        </w:tc>
      </w:tr>
      <w:tr w:rsidR="00725763" w14:paraId="0DD165C9" w14:textId="77777777" w:rsidTr="00A97728">
        <w:trPr>
          <w:trHeight w:val="330"/>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D16F3" w14:textId="77777777" w:rsidR="00725763" w:rsidRDefault="00725763" w:rsidP="00A97728">
            <w:r w:rsidRPr="715652C4">
              <w:rPr>
                <w:rFonts w:ascii="Calibri" w:eastAsia="Calibri" w:hAnsi="Calibri" w:cs="Calibri"/>
                <w:b/>
                <w:bCs/>
                <w:color w:val="000000" w:themeColor="text1"/>
                <w:sz w:val="18"/>
                <w:szCs w:val="18"/>
              </w:rPr>
              <w:t xml:space="preserve">Specific Learning Outcomes: </w:t>
            </w:r>
          </w:p>
          <w:p w14:paraId="2C1634DB" w14:textId="77777777" w:rsidR="00725763" w:rsidRDefault="00725763" w:rsidP="00A97728">
            <w:r w:rsidRPr="715652C4">
              <w:rPr>
                <w:rFonts w:ascii="Calibri" w:eastAsia="Calibri" w:hAnsi="Calibri" w:cs="Calibri"/>
                <w:b/>
                <w:bCs/>
                <w:color w:val="000000" w:themeColor="text1"/>
                <w:sz w:val="18"/>
                <w:szCs w:val="18"/>
              </w:rPr>
              <w:t xml:space="preserve"> </w:t>
            </w:r>
          </w:p>
          <w:p w14:paraId="6AF68175" w14:textId="77777777" w:rsidR="00725763" w:rsidRDefault="00725763" w:rsidP="00A97728">
            <w:r w:rsidRPr="715652C4">
              <w:rPr>
                <w:rFonts w:ascii="Calibri" w:eastAsia="Calibri" w:hAnsi="Calibri" w:cs="Calibri"/>
                <w:color w:val="000000" w:themeColor="text1"/>
                <w:sz w:val="18"/>
                <w:szCs w:val="18"/>
              </w:rPr>
              <w:t xml:space="preserve"> </w:t>
            </w:r>
          </w:p>
        </w:tc>
      </w:tr>
      <w:tr w:rsidR="00725763" w14:paraId="20A572E1" w14:textId="77777777" w:rsidTr="00A97728">
        <w:trPr>
          <w:trHeight w:val="120"/>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53A824C" w14:textId="77777777" w:rsidR="00725763" w:rsidRDefault="00725763" w:rsidP="00A97728">
            <w:pPr>
              <w:jc w:val="center"/>
            </w:pPr>
            <w:r w:rsidRPr="715652C4">
              <w:rPr>
                <w:rFonts w:ascii="Calibri" w:eastAsia="Calibri" w:hAnsi="Calibri" w:cs="Calibri"/>
                <w:b/>
                <w:bCs/>
                <w:color w:val="000000" w:themeColor="text1"/>
                <w:sz w:val="18"/>
                <w:szCs w:val="18"/>
              </w:rPr>
              <w:t>Narrative / Background Information</w:t>
            </w:r>
          </w:p>
        </w:tc>
      </w:tr>
      <w:tr w:rsidR="00725763" w14:paraId="3606C714" w14:textId="77777777" w:rsidTr="00A97728">
        <w:trPr>
          <w:trHeight w:val="915"/>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34F058" w14:textId="77777777" w:rsidR="00725763" w:rsidRDefault="00725763" w:rsidP="00A97728">
            <w:r w:rsidRPr="715652C4">
              <w:rPr>
                <w:rFonts w:ascii="Calibri" w:eastAsia="Calibri" w:hAnsi="Calibri" w:cs="Calibri"/>
                <w:b/>
                <w:bCs/>
                <w:color w:val="000000" w:themeColor="text1"/>
                <w:sz w:val="18"/>
                <w:szCs w:val="18"/>
              </w:rPr>
              <w:t>Phenomena of Focus:</w:t>
            </w:r>
          </w:p>
          <w:p w14:paraId="37F501D6" w14:textId="77777777" w:rsidR="00725763" w:rsidRDefault="00725763" w:rsidP="00A97728">
            <w:r w:rsidRPr="715652C4">
              <w:rPr>
                <w:rFonts w:ascii="Calibri" w:eastAsia="Calibri" w:hAnsi="Calibri" w:cs="Calibri"/>
                <w:b/>
                <w:bCs/>
                <w:color w:val="000000" w:themeColor="text1"/>
                <w:sz w:val="18"/>
                <w:szCs w:val="18"/>
              </w:rPr>
              <w:t xml:space="preserve"> </w:t>
            </w:r>
          </w:p>
          <w:p w14:paraId="4D544C7A" w14:textId="77777777" w:rsidR="00725763" w:rsidRDefault="00725763" w:rsidP="00A97728">
            <w:r w:rsidRPr="715652C4">
              <w:rPr>
                <w:rFonts w:ascii="Calibri" w:eastAsia="Calibri" w:hAnsi="Calibri" w:cs="Calibri"/>
                <w:b/>
                <w:bCs/>
                <w:color w:val="000000" w:themeColor="text1"/>
                <w:sz w:val="18"/>
                <w:szCs w:val="18"/>
              </w:rPr>
              <w:t>Driving Question:</w:t>
            </w:r>
          </w:p>
        </w:tc>
      </w:tr>
      <w:tr w:rsidR="00725763" w14:paraId="2BD6590E" w14:textId="77777777" w:rsidTr="00A97728">
        <w:trPr>
          <w:trHeight w:val="915"/>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00D2D" w14:textId="77777777" w:rsidR="00725763" w:rsidRDefault="00725763" w:rsidP="00A97728">
            <w:r w:rsidRPr="715652C4">
              <w:rPr>
                <w:rFonts w:ascii="Calibri" w:eastAsia="Calibri" w:hAnsi="Calibri" w:cs="Calibri"/>
                <w:b/>
                <w:bCs/>
                <w:color w:val="000000" w:themeColor="text1"/>
                <w:sz w:val="18"/>
                <w:szCs w:val="18"/>
              </w:rPr>
              <w:t xml:space="preserve">Prior Student Knowledge: </w:t>
            </w:r>
          </w:p>
        </w:tc>
      </w:tr>
      <w:tr w:rsidR="00725763" w14:paraId="1AEF3CA2" w14:textId="77777777" w:rsidTr="00A97728">
        <w:trPr>
          <w:trHeight w:val="645"/>
        </w:trPr>
        <w:tc>
          <w:tcPr>
            <w:tcW w:w="28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34287" w14:textId="77777777" w:rsidR="00725763" w:rsidRDefault="00725763" w:rsidP="00A97728">
            <w:r w:rsidRPr="715652C4">
              <w:rPr>
                <w:rFonts w:ascii="Calibri" w:eastAsia="Calibri" w:hAnsi="Calibri" w:cs="Calibri"/>
                <w:b/>
                <w:bCs/>
                <w:color w:val="000000" w:themeColor="text1"/>
                <w:sz w:val="18"/>
                <w:szCs w:val="18"/>
              </w:rPr>
              <w:t xml:space="preserve">Science &amp; Engineering Practices: </w:t>
            </w:r>
          </w:p>
        </w:tc>
        <w:tc>
          <w:tcPr>
            <w:tcW w:w="2876" w:type="dxa"/>
            <w:tcBorders>
              <w:top w:val="nil"/>
              <w:left w:val="single" w:sz="8" w:space="0" w:color="000000" w:themeColor="text1"/>
              <w:bottom w:val="single" w:sz="8" w:space="0" w:color="000000" w:themeColor="text1"/>
              <w:right w:val="single" w:sz="8" w:space="0" w:color="000000" w:themeColor="text1"/>
            </w:tcBorders>
          </w:tcPr>
          <w:p w14:paraId="38BC2A15" w14:textId="77777777" w:rsidR="00725763" w:rsidRDefault="00725763" w:rsidP="00A97728">
            <w:r w:rsidRPr="715652C4">
              <w:rPr>
                <w:rFonts w:ascii="Calibri" w:eastAsia="Calibri" w:hAnsi="Calibri" w:cs="Calibri"/>
                <w:b/>
                <w:bCs/>
                <w:color w:val="000000" w:themeColor="text1"/>
                <w:sz w:val="18"/>
                <w:szCs w:val="18"/>
              </w:rPr>
              <w:t xml:space="preserve">Disciplinary Core Ideas: </w:t>
            </w:r>
          </w:p>
        </w:tc>
        <w:tc>
          <w:tcPr>
            <w:tcW w:w="2876" w:type="dxa"/>
            <w:tcBorders>
              <w:top w:val="nil"/>
              <w:left w:val="single" w:sz="8" w:space="0" w:color="000000" w:themeColor="text1"/>
              <w:bottom w:val="single" w:sz="8" w:space="0" w:color="000000" w:themeColor="text1"/>
              <w:right w:val="single" w:sz="8" w:space="0" w:color="000000" w:themeColor="text1"/>
            </w:tcBorders>
          </w:tcPr>
          <w:p w14:paraId="25A736D4" w14:textId="77777777" w:rsidR="00725763" w:rsidRDefault="00725763" w:rsidP="00A97728">
            <w:r w:rsidRPr="715652C4">
              <w:rPr>
                <w:rFonts w:ascii="Calibri" w:eastAsia="Calibri" w:hAnsi="Calibri" w:cs="Calibri"/>
                <w:b/>
                <w:bCs/>
                <w:color w:val="000000" w:themeColor="text1"/>
                <w:sz w:val="18"/>
                <w:szCs w:val="18"/>
              </w:rPr>
              <w:t xml:space="preserve">Crosscutting Concepts: ­ </w:t>
            </w:r>
          </w:p>
        </w:tc>
      </w:tr>
      <w:tr w:rsidR="00725763" w14:paraId="7F2AC626" w14:textId="77777777" w:rsidTr="00A97728">
        <w:trPr>
          <w:trHeight w:val="645"/>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F5CF9E" w14:textId="77777777" w:rsidR="00725763" w:rsidRDefault="00725763" w:rsidP="00A97728">
            <w:r w:rsidRPr="715652C4">
              <w:rPr>
                <w:rFonts w:ascii="Calibri" w:eastAsia="Calibri" w:hAnsi="Calibri" w:cs="Calibri"/>
                <w:b/>
                <w:bCs/>
                <w:color w:val="000000" w:themeColor="text1"/>
                <w:sz w:val="18"/>
                <w:szCs w:val="18"/>
              </w:rPr>
              <w:t xml:space="preserve">Possible Preconceptions/Misconceptions: </w:t>
            </w:r>
          </w:p>
        </w:tc>
      </w:tr>
      <w:tr w:rsidR="00725763" w14:paraId="5C1E9475" w14:textId="77777777" w:rsidTr="00A97728">
        <w:trPr>
          <w:trHeight w:val="120"/>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7009345" w14:textId="77777777" w:rsidR="00725763" w:rsidRDefault="00725763" w:rsidP="00A97728">
            <w:pPr>
              <w:jc w:val="center"/>
            </w:pPr>
            <w:r w:rsidRPr="715652C4">
              <w:rPr>
                <w:rFonts w:ascii="Calibri" w:eastAsia="Calibri" w:hAnsi="Calibri" w:cs="Calibri"/>
                <w:b/>
                <w:bCs/>
                <w:color w:val="000000" w:themeColor="text1"/>
                <w:sz w:val="18"/>
                <w:szCs w:val="18"/>
              </w:rPr>
              <w:t>UNIT PLAN – 5-E Model</w:t>
            </w:r>
          </w:p>
        </w:tc>
      </w:tr>
      <w:tr w:rsidR="00725763" w14:paraId="3409D6CC" w14:textId="77777777" w:rsidTr="00A97728">
        <w:trPr>
          <w:trHeight w:val="720"/>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3236E8" w14:textId="77777777" w:rsidR="00725763" w:rsidRDefault="00725763" w:rsidP="00A97728">
            <w:r w:rsidRPr="715652C4">
              <w:rPr>
                <w:rFonts w:ascii="Calibri" w:eastAsia="Calibri" w:hAnsi="Calibri" w:cs="Calibri"/>
                <w:b/>
                <w:bCs/>
                <w:sz w:val="18"/>
                <w:szCs w:val="18"/>
              </w:rPr>
              <w:t xml:space="preserve">ENGAGE:  Opening Activity – Access Prior Learning / Stimulate Interest / Generate Questions: </w:t>
            </w:r>
          </w:p>
          <w:p w14:paraId="4D71130F"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Describe how the teacher will capture students’ interest.</w:t>
            </w:r>
          </w:p>
          <w:p w14:paraId="05F509CF"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How will teacher solicit student prior ideas and thinking?</w:t>
            </w:r>
          </w:p>
          <w:p w14:paraId="2485F822"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What kind of questions should the students ask themselves after the engagement?</w:t>
            </w:r>
          </w:p>
          <w:p w14:paraId="428CF117" w14:textId="77777777" w:rsidR="00725763" w:rsidRDefault="00725763" w:rsidP="00A97728">
            <w:r w:rsidRPr="715652C4">
              <w:rPr>
                <w:sz w:val="20"/>
                <w:szCs w:val="20"/>
              </w:rPr>
              <w:t xml:space="preserve"> </w:t>
            </w:r>
          </w:p>
        </w:tc>
      </w:tr>
      <w:tr w:rsidR="00725763" w14:paraId="7974CD2D" w14:textId="77777777" w:rsidTr="00A97728">
        <w:trPr>
          <w:trHeight w:val="630"/>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228F9" w14:textId="77777777" w:rsidR="00725763" w:rsidRDefault="00725763" w:rsidP="00A97728">
            <w:r w:rsidRPr="715652C4">
              <w:rPr>
                <w:rFonts w:ascii="Calibri" w:eastAsia="Calibri" w:hAnsi="Calibri" w:cs="Calibri"/>
                <w:b/>
                <w:bCs/>
                <w:color w:val="000000" w:themeColor="text1"/>
                <w:sz w:val="18"/>
                <w:szCs w:val="18"/>
              </w:rPr>
              <w:t xml:space="preserve">EXPLORE: Lesson Description – Materials Needed / Probing or Clarifying Questions: </w:t>
            </w:r>
          </w:p>
          <w:p w14:paraId="346AC2A2"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 xml:space="preserve">Describe what hands-on/minds-on activities students will be doing. </w:t>
            </w:r>
          </w:p>
          <w:p w14:paraId="7EB98329"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List “big idea” conceptual questions the teacher will use to probe and encourage and/or focus students’ exploration</w:t>
            </w:r>
          </w:p>
          <w:p w14:paraId="2DE9B295" w14:textId="77777777" w:rsidR="00725763" w:rsidRDefault="00725763" w:rsidP="00A97728">
            <w:r w:rsidRPr="715652C4">
              <w:rPr>
                <w:rFonts w:ascii="Calibri" w:eastAsia="Calibri" w:hAnsi="Calibri" w:cs="Calibri"/>
                <w:color w:val="000000" w:themeColor="text1"/>
                <w:sz w:val="18"/>
                <w:szCs w:val="18"/>
              </w:rPr>
              <w:t xml:space="preserve"> </w:t>
            </w:r>
          </w:p>
        </w:tc>
      </w:tr>
      <w:tr w:rsidR="00725763" w14:paraId="45E014D1" w14:textId="77777777" w:rsidTr="00A97728">
        <w:trPr>
          <w:trHeight w:val="1140"/>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02964" w14:textId="77777777" w:rsidR="00725763" w:rsidRDefault="00725763" w:rsidP="00A97728">
            <w:r w:rsidRPr="715652C4">
              <w:rPr>
                <w:rFonts w:ascii="Calibri" w:eastAsia="Calibri" w:hAnsi="Calibri" w:cs="Calibri"/>
                <w:b/>
                <w:bCs/>
                <w:color w:val="000000" w:themeColor="text1"/>
                <w:sz w:val="18"/>
                <w:szCs w:val="18"/>
              </w:rPr>
              <w:t xml:space="preserve">EXPLAIN: Concepts Explained and Vocabulary Defined: </w:t>
            </w:r>
          </w:p>
          <w:p w14:paraId="6870A67C"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 xml:space="preserve">Student explorations should precede introduction of terms or explanations by the teacher. What questions or techniques will the teacher use to help students connect their exploration to the concept under examination? </w:t>
            </w:r>
          </w:p>
          <w:p w14:paraId="44AFD5FD"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 xml:space="preserve">Teachers will solicit </w:t>
            </w:r>
            <w:r w:rsidRPr="715652C4">
              <w:rPr>
                <w:rFonts w:ascii="Arial Narrow" w:eastAsia="Arial Narrow" w:hAnsi="Arial Narrow" w:cs="Arial Narrow"/>
                <w:i/>
                <w:iCs/>
                <w:sz w:val="18"/>
                <w:szCs w:val="18"/>
              </w:rPr>
              <w:t>student</w:t>
            </w:r>
            <w:r w:rsidRPr="715652C4">
              <w:rPr>
                <w:rFonts w:ascii="Arial Narrow" w:eastAsia="Arial Narrow" w:hAnsi="Arial Narrow" w:cs="Arial Narrow"/>
                <w:sz w:val="18"/>
                <w:szCs w:val="18"/>
              </w:rPr>
              <w:t xml:space="preserve"> explanations and help them to justify their explanations.</w:t>
            </w:r>
          </w:p>
          <w:p w14:paraId="28B116D0"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What vocabulary will be introduced and how will it connect to students’ explorations?</w:t>
            </w:r>
          </w:p>
          <w:p w14:paraId="2CC5037A" w14:textId="77777777" w:rsidR="00725763" w:rsidRDefault="00725763" w:rsidP="00A97728">
            <w:r w:rsidRPr="715652C4">
              <w:rPr>
                <w:rFonts w:ascii="Calibri" w:eastAsia="Calibri" w:hAnsi="Calibri" w:cs="Calibri"/>
                <w:color w:val="000000" w:themeColor="text1"/>
                <w:sz w:val="18"/>
                <w:szCs w:val="18"/>
              </w:rPr>
              <w:t xml:space="preserve"> </w:t>
            </w:r>
          </w:p>
          <w:p w14:paraId="1D2337F7" w14:textId="77777777" w:rsidR="00725763" w:rsidRDefault="00725763" w:rsidP="00A97728">
            <w:r w:rsidRPr="715652C4">
              <w:rPr>
                <w:rFonts w:ascii="Calibri" w:eastAsia="Calibri" w:hAnsi="Calibri" w:cs="Calibri"/>
                <w:b/>
                <w:bCs/>
                <w:color w:val="000000" w:themeColor="text1"/>
                <w:sz w:val="18"/>
                <w:szCs w:val="18"/>
              </w:rPr>
              <w:t xml:space="preserve">Vocabulary: </w:t>
            </w:r>
          </w:p>
          <w:p w14:paraId="6B26ADA2" w14:textId="77777777" w:rsidR="00725763" w:rsidRDefault="00725763" w:rsidP="00A97728">
            <w:r w:rsidRPr="715652C4">
              <w:rPr>
                <w:rFonts w:ascii="Calibri" w:eastAsia="Calibri" w:hAnsi="Calibri" w:cs="Calibri"/>
                <w:color w:val="000000" w:themeColor="text1"/>
                <w:sz w:val="18"/>
                <w:szCs w:val="18"/>
              </w:rPr>
              <w:t xml:space="preserve"> </w:t>
            </w:r>
          </w:p>
        </w:tc>
      </w:tr>
      <w:tr w:rsidR="00725763" w14:paraId="179D8D5F" w14:textId="77777777" w:rsidTr="00A97728">
        <w:trPr>
          <w:trHeight w:val="720"/>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8B5E3B" w14:textId="77777777" w:rsidR="00725763" w:rsidRDefault="00725763" w:rsidP="00A97728">
            <w:r w:rsidRPr="715652C4">
              <w:rPr>
                <w:rFonts w:ascii="Calibri" w:eastAsia="Calibri" w:hAnsi="Calibri" w:cs="Calibri"/>
                <w:b/>
                <w:bCs/>
                <w:color w:val="000000" w:themeColor="text1"/>
                <w:sz w:val="18"/>
                <w:szCs w:val="18"/>
              </w:rPr>
              <w:t xml:space="preserve">ELABORATE:  Applications and Extensions: </w:t>
            </w:r>
          </w:p>
          <w:p w14:paraId="3DAAE223"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Describe how students will develop a more sophisticated understanding of the concept.</w:t>
            </w:r>
          </w:p>
          <w:p w14:paraId="5FB23759"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How is this knowledge applied in our daily lives and to novel situations?</w:t>
            </w:r>
          </w:p>
          <w:p w14:paraId="53023AFB" w14:textId="77777777" w:rsidR="00725763" w:rsidRDefault="00725763" w:rsidP="00A97728">
            <w:r w:rsidRPr="715652C4">
              <w:rPr>
                <w:rFonts w:ascii="Calibri" w:eastAsia="Calibri" w:hAnsi="Calibri" w:cs="Calibri"/>
                <w:color w:val="000000" w:themeColor="text1"/>
                <w:sz w:val="18"/>
                <w:szCs w:val="18"/>
              </w:rPr>
              <w:t xml:space="preserve"> </w:t>
            </w:r>
          </w:p>
        </w:tc>
      </w:tr>
      <w:tr w:rsidR="00725763" w14:paraId="1FCFAADC" w14:textId="77777777" w:rsidTr="00A97728">
        <w:trPr>
          <w:trHeight w:val="555"/>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45355B" w14:textId="77777777" w:rsidR="00725763" w:rsidRDefault="00725763" w:rsidP="00A97728">
            <w:r w:rsidRPr="715652C4">
              <w:rPr>
                <w:rFonts w:ascii="Calibri" w:eastAsia="Calibri" w:hAnsi="Calibri" w:cs="Calibri"/>
                <w:b/>
                <w:bCs/>
                <w:sz w:val="18"/>
                <w:szCs w:val="18"/>
              </w:rPr>
              <w:lastRenderedPageBreak/>
              <w:t xml:space="preserve">EVALUATE:  </w:t>
            </w:r>
          </w:p>
          <w:p w14:paraId="041C8E3F"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How will students demonstrate that they have achieved the lesson objective?</w:t>
            </w:r>
          </w:p>
          <w:p w14:paraId="5689C47A"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This should be embedded throughout the lesson as well as at the end of the lesson</w:t>
            </w:r>
          </w:p>
          <w:p w14:paraId="7E4361FF"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List higher order thinking questions.</w:t>
            </w:r>
          </w:p>
          <w:p w14:paraId="7A136021" w14:textId="77777777" w:rsidR="00725763" w:rsidRDefault="00725763" w:rsidP="00A97728">
            <w:r w:rsidRPr="715652C4">
              <w:rPr>
                <w:rFonts w:ascii="Calibri" w:eastAsia="Calibri" w:hAnsi="Calibri" w:cs="Calibri"/>
                <w:color w:val="000000" w:themeColor="text1"/>
                <w:sz w:val="18"/>
                <w:szCs w:val="18"/>
              </w:rPr>
              <w:t xml:space="preserve"> </w:t>
            </w:r>
          </w:p>
          <w:p w14:paraId="545BD2CA" w14:textId="77777777" w:rsidR="00725763" w:rsidRDefault="00725763" w:rsidP="00A97728">
            <w:r w:rsidRPr="715652C4">
              <w:rPr>
                <w:rFonts w:ascii="Calibri" w:eastAsia="Calibri" w:hAnsi="Calibri" w:cs="Calibri"/>
                <w:b/>
                <w:bCs/>
                <w:color w:val="000000" w:themeColor="text1"/>
                <w:sz w:val="18"/>
                <w:szCs w:val="18"/>
              </w:rPr>
              <w:t xml:space="preserve">Formative Assessment: </w:t>
            </w:r>
          </w:p>
          <w:p w14:paraId="61B27283" w14:textId="77777777" w:rsidR="00725763" w:rsidRDefault="00725763" w:rsidP="00A97728">
            <w:r w:rsidRPr="715652C4">
              <w:rPr>
                <w:rFonts w:ascii="Calibri" w:eastAsia="Calibri" w:hAnsi="Calibri" w:cs="Calibri"/>
                <w:color w:val="000000" w:themeColor="text1"/>
                <w:sz w:val="18"/>
                <w:szCs w:val="18"/>
              </w:rPr>
              <w:t xml:space="preserve"> </w:t>
            </w:r>
          </w:p>
          <w:p w14:paraId="15DFF158" w14:textId="77777777" w:rsidR="00725763" w:rsidRDefault="00725763" w:rsidP="00A97728">
            <w:r w:rsidRPr="715652C4">
              <w:rPr>
                <w:rFonts w:ascii="Calibri" w:eastAsia="Calibri" w:hAnsi="Calibri" w:cs="Calibri"/>
                <w:b/>
                <w:bCs/>
                <w:color w:val="000000" w:themeColor="text1"/>
                <w:sz w:val="18"/>
                <w:szCs w:val="18"/>
              </w:rPr>
              <w:t xml:space="preserve">Summative Assessment: </w:t>
            </w:r>
          </w:p>
          <w:p w14:paraId="4B3A8A12" w14:textId="77777777" w:rsidR="00725763" w:rsidRDefault="00725763" w:rsidP="00A97728">
            <w:r w:rsidRPr="715652C4">
              <w:rPr>
                <w:rFonts w:ascii="Calibri" w:eastAsia="Calibri" w:hAnsi="Calibri" w:cs="Calibri"/>
                <w:color w:val="000000" w:themeColor="text1"/>
                <w:sz w:val="18"/>
                <w:szCs w:val="18"/>
              </w:rPr>
              <w:t xml:space="preserve"> </w:t>
            </w:r>
          </w:p>
        </w:tc>
      </w:tr>
      <w:tr w:rsidR="00725763" w14:paraId="6067B21D" w14:textId="77777777" w:rsidTr="00A97728">
        <w:trPr>
          <w:trHeight w:val="720"/>
        </w:trPr>
        <w:tc>
          <w:tcPr>
            <w:tcW w:w="86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A76FC" w14:textId="77777777" w:rsidR="00725763" w:rsidRDefault="00725763" w:rsidP="00A97728">
            <w:r w:rsidRPr="715652C4">
              <w:rPr>
                <w:rFonts w:ascii="Calibri" w:eastAsia="Calibri" w:hAnsi="Calibri" w:cs="Calibri"/>
                <w:b/>
                <w:bCs/>
                <w:color w:val="000000" w:themeColor="text1"/>
                <w:sz w:val="18"/>
                <w:szCs w:val="18"/>
              </w:rPr>
              <w:t xml:space="preserve">Elaborate Further / Reflect: Enrichment: </w:t>
            </w:r>
          </w:p>
          <w:p w14:paraId="6413A32C" w14:textId="77777777" w:rsidR="00725763" w:rsidRDefault="00725763" w:rsidP="00725763">
            <w:pPr>
              <w:pStyle w:val="ListParagraph"/>
              <w:numPr>
                <w:ilvl w:val="0"/>
                <w:numId w:val="2"/>
              </w:numPr>
              <w:rPr>
                <w:rFonts w:ascii="Arial Narrow" w:eastAsia="Arial Narrow" w:hAnsi="Arial Narrow" w:cs="Arial Narrow"/>
                <w:sz w:val="18"/>
                <w:szCs w:val="18"/>
              </w:rPr>
            </w:pPr>
            <w:r w:rsidRPr="715652C4">
              <w:rPr>
                <w:rFonts w:ascii="Arial Narrow" w:eastAsia="Arial Narrow" w:hAnsi="Arial Narrow" w:cs="Arial Narrow"/>
                <w:sz w:val="18"/>
                <w:szCs w:val="18"/>
              </w:rPr>
              <w:t>Where will the teacher and students go from here?</w:t>
            </w:r>
          </w:p>
        </w:tc>
      </w:tr>
    </w:tbl>
    <w:p w14:paraId="0D642BFD" w14:textId="77777777" w:rsidR="00725763" w:rsidRDefault="00725763" w:rsidP="00725763"/>
    <w:p w14:paraId="56F838DD" w14:textId="77777777" w:rsidR="00725763" w:rsidRDefault="00725763" w:rsidP="00725763">
      <w:r w:rsidRPr="715652C4">
        <w:rPr>
          <w:rFonts w:ascii="Calibri" w:eastAsia="Calibri" w:hAnsi="Calibri" w:cs="Calibri"/>
          <w:color w:val="000000" w:themeColor="text1"/>
        </w:rPr>
        <w:t xml:space="preserve"> </w:t>
      </w:r>
    </w:p>
    <w:p w14:paraId="0BAA59B8" w14:textId="77777777" w:rsidR="00725763" w:rsidRDefault="00725763" w:rsidP="00725763">
      <w:pPr>
        <w:rPr>
          <w:rFonts w:ascii="Calibri" w:eastAsia="Calibri" w:hAnsi="Calibri" w:cs="Calibri"/>
          <w:color w:val="000000" w:themeColor="text1"/>
        </w:rPr>
      </w:pPr>
    </w:p>
    <w:p w14:paraId="711AEAFA" w14:textId="77777777" w:rsidR="009B0EE1" w:rsidRPr="007475B3" w:rsidRDefault="009B0EE1" w:rsidP="009B0EE1">
      <w:pPr>
        <w:ind w:left="1080"/>
      </w:pPr>
    </w:p>
    <w:p w14:paraId="5732E857" w14:textId="77777777" w:rsidR="009B0EE1" w:rsidRDefault="009B0EE1" w:rsidP="009B0EE1">
      <w:pPr>
        <w:ind w:left="1080"/>
      </w:pPr>
    </w:p>
    <w:p w14:paraId="57083C61" w14:textId="77777777" w:rsidR="009B0EE1" w:rsidRDefault="009B0EE1" w:rsidP="009B0EE1">
      <w:pPr>
        <w:ind w:left="1080"/>
      </w:pPr>
    </w:p>
    <w:p w14:paraId="720128DB" w14:textId="77777777" w:rsidR="009B0EE1" w:rsidRPr="00E1534D" w:rsidRDefault="009B0EE1" w:rsidP="009B0EE1">
      <w:pPr>
        <w:ind w:left="1080"/>
      </w:pPr>
    </w:p>
    <w:sectPr w:rsidR="009B0EE1" w:rsidRPr="00E1534D" w:rsidSect="009E120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7097" w14:textId="77777777" w:rsidR="00C15B8E" w:rsidRDefault="00C15B8E">
      <w:r>
        <w:separator/>
      </w:r>
    </w:p>
  </w:endnote>
  <w:endnote w:type="continuationSeparator" w:id="0">
    <w:p w14:paraId="1DEA8100" w14:textId="77777777" w:rsidR="00C15B8E" w:rsidRDefault="00C1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4F0D" w14:textId="77777777" w:rsidR="00503F8B" w:rsidRDefault="009B0EE1" w:rsidP="000720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48A6D" w14:textId="77777777" w:rsidR="00503F8B" w:rsidRDefault="00C15B8E" w:rsidP="00503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FF15" w14:textId="77777777" w:rsidR="00503F8B" w:rsidRDefault="009B0EE1" w:rsidP="000720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225A6D0" w14:textId="77777777" w:rsidR="00503F8B" w:rsidRDefault="00C15B8E" w:rsidP="00503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1631" w14:textId="77777777" w:rsidR="00C15B8E" w:rsidRDefault="00C15B8E">
      <w:r>
        <w:separator/>
      </w:r>
    </w:p>
  </w:footnote>
  <w:footnote w:type="continuationSeparator" w:id="0">
    <w:p w14:paraId="1720B128" w14:textId="77777777" w:rsidR="00C15B8E" w:rsidRDefault="00C1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39A"/>
    <w:multiLevelType w:val="hybridMultilevel"/>
    <w:tmpl w:val="4878B288"/>
    <w:lvl w:ilvl="0" w:tplc="B92699D8">
      <w:start w:val="1"/>
      <w:numFmt w:val="decimal"/>
      <w:lvlText w:val="%1."/>
      <w:lvlJc w:val="left"/>
      <w:pPr>
        <w:ind w:left="720" w:hanging="360"/>
      </w:pPr>
    </w:lvl>
    <w:lvl w:ilvl="1" w:tplc="9F52BD64">
      <w:start w:val="1"/>
      <w:numFmt w:val="lowerLetter"/>
      <w:lvlText w:val="%2."/>
      <w:lvlJc w:val="left"/>
      <w:pPr>
        <w:ind w:left="1440" w:hanging="360"/>
      </w:pPr>
    </w:lvl>
    <w:lvl w:ilvl="2" w:tplc="2A80DE68">
      <w:start w:val="1"/>
      <w:numFmt w:val="lowerRoman"/>
      <w:lvlText w:val="%3."/>
      <w:lvlJc w:val="right"/>
      <w:pPr>
        <w:ind w:left="2160" w:hanging="180"/>
      </w:pPr>
    </w:lvl>
    <w:lvl w:ilvl="3" w:tplc="F30EF020">
      <w:start w:val="1"/>
      <w:numFmt w:val="decimal"/>
      <w:lvlText w:val="%4."/>
      <w:lvlJc w:val="left"/>
      <w:pPr>
        <w:ind w:left="2880" w:hanging="360"/>
      </w:pPr>
    </w:lvl>
    <w:lvl w:ilvl="4" w:tplc="C042603A">
      <w:start w:val="1"/>
      <w:numFmt w:val="lowerLetter"/>
      <w:lvlText w:val="%5."/>
      <w:lvlJc w:val="left"/>
      <w:pPr>
        <w:ind w:left="3600" w:hanging="360"/>
      </w:pPr>
    </w:lvl>
    <w:lvl w:ilvl="5" w:tplc="16B6B45C">
      <w:start w:val="1"/>
      <w:numFmt w:val="lowerRoman"/>
      <w:lvlText w:val="%6."/>
      <w:lvlJc w:val="right"/>
      <w:pPr>
        <w:ind w:left="4320" w:hanging="180"/>
      </w:pPr>
    </w:lvl>
    <w:lvl w:ilvl="6" w:tplc="DC14AAF8">
      <w:start w:val="1"/>
      <w:numFmt w:val="decimal"/>
      <w:lvlText w:val="%7."/>
      <w:lvlJc w:val="left"/>
      <w:pPr>
        <w:ind w:left="5040" w:hanging="360"/>
      </w:pPr>
    </w:lvl>
    <w:lvl w:ilvl="7" w:tplc="7368F8F6">
      <w:start w:val="1"/>
      <w:numFmt w:val="lowerLetter"/>
      <w:lvlText w:val="%8."/>
      <w:lvlJc w:val="left"/>
      <w:pPr>
        <w:ind w:left="5760" w:hanging="360"/>
      </w:pPr>
    </w:lvl>
    <w:lvl w:ilvl="8" w:tplc="A5D6B5E8">
      <w:start w:val="1"/>
      <w:numFmt w:val="lowerRoman"/>
      <w:lvlText w:val="%9."/>
      <w:lvlJc w:val="right"/>
      <w:pPr>
        <w:ind w:left="6480" w:hanging="180"/>
      </w:pPr>
    </w:lvl>
  </w:abstractNum>
  <w:abstractNum w:abstractNumId="1" w15:restartNumberingAfterBreak="0">
    <w:nsid w:val="0EFC1795"/>
    <w:multiLevelType w:val="hybridMultilevel"/>
    <w:tmpl w:val="C0C4D008"/>
    <w:lvl w:ilvl="0" w:tplc="3F8EB640">
      <w:start w:val="1"/>
      <w:numFmt w:val="bullet"/>
      <w:lvlText w:val="·"/>
      <w:lvlJc w:val="left"/>
      <w:pPr>
        <w:ind w:left="720" w:hanging="360"/>
      </w:pPr>
      <w:rPr>
        <w:rFonts w:ascii="Symbol" w:hAnsi="Symbol" w:hint="default"/>
      </w:rPr>
    </w:lvl>
    <w:lvl w:ilvl="1" w:tplc="5106C0E4">
      <w:start w:val="1"/>
      <w:numFmt w:val="bullet"/>
      <w:lvlText w:val="o"/>
      <w:lvlJc w:val="left"/>
      <w:pPr>
        <w:ind w:left="1440" w:hanging="360"/>
      </w:pPr>
      <w:rPr>
        <w:rFonts w:ascii="Courier New" w:hAnsi="Courier New" w:hint="default"/>
      </w:rPr>
    </w:lvl>
    <w:lvl w:ilvl="2" w:tplc="8B16418A">
      <w:start w:val="1"/>
      <w:numFmt w:val="bullet"/>
      <w:lvlText w:val=""/>
      <w:lvlJc w:val="left"/>
      <w:pPr>
        <w:ind w:left="2160" w:hanging="360"/>
      </w:pPr>
      <w:rPr>
        <w:rFonts w:ascii="Wingdings" w:hAnsi="Wingdings" w:hint="default"/>
      </w:rPr>
    </w:lvl>
    <w:lvl w:ilvl="3" w:tplc="DE564822">
      <w:start w:val="1"/>
      <w:numFmt w:val="bullet"/>
      <w:lvlText w:val=""/>
      <w:lvlJc w:val="left"/>
      <w:pPr>
        <w:ind w:left="2880" w:hanging="360"/>
      </w:pPr>
      <w:rPr>
        <w:rFonts w:ascii="Symbol" w:hAnsi="Symbol" w:hint="default"/>
      </w:rPr>
    </w:lvl>
    <w:lvl w:ilvl="4" w:tplc="9ADA2718">
      <w:start w:val="1"/>
      <w:numFmt w:val="bullet"/>
      <w:lvlText w:val="o"/>
      <w:lvlJc w:val="left"/>
      <w:pPr>
        <w:ind w:left="3600" w:hanging="360"/>
      </w:pPr>
      <w:rPr>
        <w:rFonts w:ascii="Courier New" w:hAnsi="Courier New" w:hint="default"/>
      </w:rPr>
    </w:lvl>
    <w:lvl w:ilvl="5" w:tplc="2536E3FE">
      <w:start w:val="1"/>
      <w:numFmt w:val="bullet"/>
      <w:lvlText w:val=""/>
      <w:lvlJc w:val="left"/>
      <w:pPr>
        <w:ind w:left="4320" w:hanging="360"/>
      </w:pPr>
      <w:rPr>
        <w:rFonts w:ascii="Wingdings" w:hAnsi="Wingdings" w:hint="default"/>
      </w:rPr>
    </w:lvl>
    <w:lvl w:ilvl="6" w:tplc="37D67D18">
      <w:start w:val="1"/>
      <w:numFmt w:val="bullet"/>
      <w:lvlText w:val=""/>
      <w:lvlJc w:val="left"/>
      <w:pPr>
        <w:ind w:left="5040" w:hanging="360"/>
      </w:pPr>
      <w:rPr>
        <w:rFonts w:ascii="Symbol" w:hAnsi="Symbol" w:hint="default"/>
      </w:rPr>
    </w:lvl>
    <w:lvl w:ilvl="7" w:tplc="8A600684">
      <w:start w:val="1"/>
      <w:numFmt w:val="bullet"/>
      <w:lvlText w:val="o"/>
      <w:lvlJc w:val="left"/>
      <w:pPr>
        <w:ind w:left="5760" w:hanging="360"/>
      </w:pPr>
      <w:rPr>
        <w:rFonts w:ascii="Courier New" w:hAnsi="Courier New" w:hint="default"/>
      </w:rPr>
    </w:lvl>
    <w:lvl w:ilvl="8" w:tplc="3B186DD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E1"/>
    <w:rsid w:val="00692EC7"/>
    <w:rsid w:val="00725763"/>
    <w:rsid w:val="007C6390"/>
    <w:rsid w:val="00961827"/>
    <w:rsid w:val="009B0EE1"/>
    <w:rsid w:val="00C1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A84A"/>
  <w14:defaultImageDpi w14:val="32767"/>
  <w15:chartTrackingRefBased/>
  <w15:docId w15:val="{2FBEF5CE-6973-474F-8AC1-2BF0E166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E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0EE1"/>
    <w:pPr>
      <w:tabs>
        <w:tab w:val="center" w:pos="4320"/>
        <w:tab w:val="right" w:pos="8640"/>
      </w:tabs>
    </w:pPr>
  </w:style>
  <w:style w:type="character" w:customStyle="1" w:styleId="FooterChar">
    <w:name w:val="Footer Char"/>
    <w:basedOn w:val="DefaultParagraphFont"/>
    <w:link w:val="Footer"/>
    <w:uiPriority w:val="99"/>
    <w:rsid w:val="009B0EE1"/>
    <w:rPr>
      <w:rFonts w:ascii="Times New Roman" w:eastAsia="Times New Roman" w:hAnsi="Times New Roman" w:cs="Times New Roman"/>
    </w:rPr>
  </w:style>
  <w:style w:type="character" w:styleId="PageNumber">
    <w:name w:val="page number"/>
    <w:basedOn w:val="DefaultParagraphFont"/>
    <w:uiPriority w:val="99"/>
    <w:semiHidden/>
    <w:unhideWhenUsed/>
    <w:rsid w:val="009B0EE1"/>
  </w:style>
  <w:style w:type="paragraph" w:customStyle="1" w:styleId="ColorfulList-Accent11">
    <w:name w:val="Colorful List - Accent 11"/>
    <w:basedOn w:val="Normal"/>
    <w:uiPriority w:val="34"/>
    <w:qFormat/>
    <w:rsid w:val="009B0EE1"/>
    <w:pPr>
      <w:ind w:left="720"/>
    </w:pPr>
  </w:style>
  <w:style w:type="paragraph" w:styleId="ListParagraph">
    <w:name w:val="List Paragraph"/>
    <w:basedOn w:val="Normal"/>
    <w:uiPriority w:val="34"/>
    <w:qFormat/>
    <w:rsid w:val="009B0EE1"/>
    <w:pPr>
      <w:ind w:left="720"/>
      <w:contextualSpacing/>
    </w:pPr>
  </w:style>
  <w:style w:type="table" w:styleId="TableGrid">
    <w:name w:val="Table Grid"/>
    <w:basedOn w:val="TableNormal"/>
    <w:uiPriority w:val="59"/>
    <w:rsid w:val="009B0EE1"/>
    <w:rPr>
      <w:rFonts w:ascii="Cambria" w:eastAsia="MS Mincho" w:hAnsi="Cambria"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009B0EE1"/>
    <w:rPr>
      <w:rFonts w:ascii="Calibri" w:hAnsi="Calibri"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 Cook</dc:creator>
  <cp:keywords/>
  <dc:description/>
  <cp:lastModifiedBy>Wendy Rubin</cp:lastModifiedBy>
  <cp:revision>2</cp:revision>
  <dcterms:created xsi:type="dcterms:W3CDTF">2023-03-14T19:05:00Z</dcterms:created>
  <dcterms:modified xsi:type="dcterms:W3CDTF">2023-03-14T19:05:00Z</dcterms:modified>
</cp:coreProperties>
</file>