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FE" w:rsidRDefault="000866FE" w:rsidP="000866FE">
      <w:pPr>
        <w:spacing w:line="480" w:lineRule="auto"/>
        <w:jc w:val="center"/>
        <w:rPr>
          <w:b/>
          <w:bCs/>
        </w:rPr>
      </w:pPr>
      <w:r>
        <w:rPr>
          <w:b/>
          <w:bCs/>
        </w:rPr>
        <w:t>Appendix B</w:t>
      </w:r>
      <w:bookmarkStart w:id="0" w:name="_GoBack"/>
      <w:bookmarkEnd w:id="0"/>
    </w:p>
    <w:p w:rsidR="000866FE" w:rsidRPr="00F40279" w:rsidRDefault="000866FE" w:rsidP="000866FE">
      <w:pPr>
        <w:spacing w:line="480" w:lineRule="auto"/>
        <w:jc w:val="center"/>
        <w:rPr>
          <w:b/>
          <w:bCs/>
        </w:rPr>
      </w:pPr>
      <w:r w:rsidRPr="00F40279">
        <w:rPr>
          <w:b/>
          <w:bCs/>
        </w:rPr>
        <w:t>Demographic Information</w:t>
      </w:r>
    </w:p>
    <w:p w:rsidR="000866FE" w:rsidRPr="00F40279" w:rsidRDefault="000866FE" w:rsidP="000866FE">
      <w:pPr>
        <w:spacing w:line="480" w:lineRule="auto"/>
      </w:pPr>
      <w:r w:rsidRPr="00F40279">
        <w:rPr>
          <w:bCs/>
        </w:rPr>
        <w:t>See below for the demographic information of students enrolled in introductory biology laboratory at the</w:t>
      </w:r>
      <w:r>
        <w:rPr>
          <w:bCs/>
        </w:rPr>
        <w:t xml:space="preserve"> University of Kentucky</w:t>
      </w:r>
      <w:r w:rsidRPr="00F40279">
        <w:rPr>
          <w:bCs/>
        </w:rPr>
        <w:t xml:space="preserve"> during the 3 semesters of study (spring 2015, fall 2015, and spring 2016).</w:t>
      </w:r>
    </w:p>
    <w:p w:rsidR="000866FE" w:rsidRPr="00F40279" w:rsidRDefault="000866FE" w:rsidP="000866F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435"/>
        <w:gridCol w:w="3335"/>
        <w:gridCol w:w="1435"/>
      </w:tblGrid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rPr>
                <w:b/>
                <w:bCs/>
              </w:rPr>
            </w:pPr>
            <w:r w:rsidRPr="00A97728">
              <w:rPr>
                <w:b/>
                <w:bCs/>
              </w:rPr>
              <w:t>Gender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rPr>
                <w:b/>
                <w:bCs/>
              </w:rPr>
            </w:pPr>
            <w:r w:rsidRPr="00A97728">
              <w:rPr>
                <w:b/>
                <w:bCs/>
              </w:rPr>
              <w:t>Race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</w:tr>
      <w:tr w:rsidR="000866FE" w:rsidRPr="00F40279" w:rsidTr="00A97728">
        <w:trPr>
          <w:trHeight w:val="340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249"/>
            </w:pPr>
            <w:r w:rsidRPr="00A97728">
              <w:t>Female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67.7%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White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75.7%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249"/>
            </w:pPr>
            <w:r w:rsidRPr="00A97728">
              <w:t>Male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31.7%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African American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6.0%</w:t>
            </w:r>
          </w:p>
        </w:tc>
      </w:tr>
      <w:tr w:rsidR="000866FE" w:rsidRPr="00F40279" w:rsidTr="00A97728">
        <w:trPr>
          <w:trHeight w:val="340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249"/>
            </w:pPr>
            <w:r w:rsidRPr="00A97728">
              <w:t>Not identified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0.6%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Hispanic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5.4%</w:t>
            </w:r>
          </w:p>
        </w:tc>
      </w:tr>
      <w:tr w:rsidR="000866FE" w:rsidRPr="00F40279" w:rsidTr="00A97728">
        <w:trPr>
          <w:trHeight w:val="340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Asian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5.4%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rPr>
                <w:b/>
                <w:bCs/>
              </w:rPr>
            </w:pPr>
            <w:r w:rsidRPr="00A97728">
              <w:rPr>
                <w:b/>
                <w:bCs/>
              </w:rPr>
              <w:t>Major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Multiracial (two or more races)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3.3%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Biology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32.3%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Others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1.8%</w:t>
            </w:r>
          </w:p>
        </w:tc>
      </w:tr>
      <w:tr w:rsidR="000866FE" w:rsidRPr="00F40279" w:rsidTr="00A97728">
        <w:trPr>
          <w:trHeight w:val="340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Kinesiology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10.2%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Not identified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2.3%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Undergraduate studies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8.1%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Chemistry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7.3%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rPr>
                <w:b/>
                <w:bCs/>
              </w:rPr>
            </w:pPr>
            <w:r w:rsidRPr="00A97728">
              <w:rPr>
                <w:b/>
                <w:bCs/>
              </w:rPr>
              <w:t>College Year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Human health sciences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5.7%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Freshmen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44.7%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Animal sciences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5.2%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Sophomores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38.1%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Psychology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4.4%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Juniors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11.3%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Agricultural biotechnology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3.4%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Seniors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4.7%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Pre-human nutrition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3.0%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70"/>
            </w:pPr>
            <w:r w:rsidRPr="00A97728">
              <w:t>Others (Graduate, non–degree seeking, etc.)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1.2%</w:t>
            </w:r>
          </w:p>
        </w:tc>
      </w:tr>
      <w:tr w:rsidR="000866FE" w:rsidRPr="00F40279" w:rsidTr="00A97728">
        <w:trPr>
          <w:trHeight w:val="335"/>
        </w:trPr>
        <w:tc>
          <w:tcPr>
            <w:tcW w:w="2880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  <w:ind w:left="159"/>
            </w:pPr>
            <w:r w:rsidRPr="00A97728">
              <w:t>Other 69 majors</w:t>
            </w: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  <w:r w:rsidRPr="00A97728">
              <w:t>20.4%</w:t>
            </w:r>
          </w:p>
        </w:tc>
        <w:tc>
          <w:tcPr>
            <w:tcW w:w="33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  <w:tc>
          <w:tcPr>
            <w:tcW w:w="1435" w:type="dxa"/>
            <w:vAlign w:val="center"/>
          </w:tcPr>
          <w:p w:rsidR="000866FE" w:rsidRPr="00A97728" w:rsidRDefault="000866FE" w:rsidP="00A97728">
            <w:pPr>
              <w:snapToGrid w:val="0"/>
              <w:spacing w:after="240"/>
            </w:pPr>
          </w:p>
        </w:tc>
      </w:tr>
    </w:tbl>
    <w:p w:rsidR="00C3609C" w:rsidRDefault="00C3609C"/>
    <w:sectPr w:rsidR="00C36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FE"/>
    <w:rsid w:val="000866FE"/>
    <w:rsid w:val="00C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228E"/>
  <w15:chartTrackingRefBased/>
  <w15:docId w15:val="{D4F1B282-1FA7-4CF1-9337-46A100C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6F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Rubin</dc:creator>
  <cp:keywords/>
  <dc:description/>
  <cp:lastModifiedBy>Wendy Rubin</cp:lastModifiedBy>
  <cp:revision>1</cp:revision>
  <dcterms:created xsi:type="dcterms:W3CDTF">2023-03-14T23:46:00Z</dcterms:created>
  <dcterms:modified xsi:type="dcterms:W3CDTF">2023-03-14T23:46:00Z</dcterms:modified>
</cp:coreProperties>
</file>